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F0BE" w14:textId="77777777" w:rsidR="00A11914" w:rsidRDefault="00C02BCF">
      <w:pPr>
        <w:pStyle w:val="Tytu"/>
        <w:rPr>
          <w:u w:val="none"/>
        </w:rPr>
      </w:pPr>
      <w:r>
        <w:t>Klauzula</w:t>
      </w:r>
      <w:r>
        <w:rPr>
          <w:spacing w:val="-8"/>
        </w:rPr>
        <w:t xml:space="preserve"> </w:t>
      </w:r>
      <w:r>
        <w:rPr>
          <w:spacing w:val="-2"/>
        </w:rPr>
        <w:t>informacyjna:</w:t>
      </w:r>
    </w:p>
    <w:p w14:paraId="3DCB9F56" w14:textId="77777777" w:rsidR="00A11914" w:rsidRDefault="00A11914">
      <w:pPr>
        <w:pStyle w:val="Tekstpodstawowy"/>
        <w:ind w:left="0" w:firstLine="0"/>
        <w:jc w:val="left"/>
        <w:rPr>
          <w:b/>
        </w:rPr>
      </w:pPr>
    </w:p>
    <w:p w14:paraId="47AC78D0" w14:textId="77777777" w:rsidR="00A11914" w:rsidRDefault="00A11914">
      <w:pPr>
        <w:pStyle w:val="Tekstpodstawowy"/>
        <w:ind w:left="0" w:firstLine="0"/>
        <w:jc w:val="left"/>
        <w:rPr>
          <w:b/>
        </w:rPr>
      </w:pPr>
    </w:p>
    <w:p w14:paraId="3EA3A3D9" w14:textId="30DA0AD8" w:rsidR="00A11914" w:rsidRDefault="00C02BCF">
      <w:pPr>
        <w:pStyle w:val="Akapitzlist"/>
        <w:numPr>
          <w:ilvl w:val="0"/>
          <w:numId w:val="1"/>
        </w:numPr>
        <w:tabs>
          <w:tab w:val="left" w:pos="566"/>
        </w:tabs>
        <w:spacing w:before="1" w:line="273" w:lineRule="auto"/>
        <w:ind w:right="148"/>
        <w:jc w:val="both"/>
        <w:rPr>
          <w:rFonts w:ascii="Times New Roman" w:hAnsi="Times New Roman"/>
          <w:sz w:val="24"/>
        </w:rPr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Gminny</w:t>
      </w:r>
      <w:r>
        <w:rPr>
          <w:spacing w:val="-3"/>
        </w:rPr>
        <w:t xml:space="preserve"> </w:t>
      </w:r>
      <w:r>
        <w:t>Ośrodek</w:t>
      </w:r>
      <w:r>
        <w:rPr>
          <w:spacing w:val="-2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Nieporęcie,</w:t>
      </w:r>
      <w:r>
        <w:rPr>
          <w:spacing w:val="-3"/>
        </w:rPr>
        <w:t xml:space="preserve"> </w:t>
      </w:r>
      <w:r>
        <w:t xml:space="preserve">plac Wolności 2A, 05-126 Nieporęt, tel. 22 487 58 80, e-mail: </w:t>
      </w:r>
      <w:hyperlink r:id="rId5">
        <w:r>
          <w:rPr>
            <w:color w:val="0462C1"/>
            <w:u w:val="single" w:color="0462C1"/>
          </w:rPr>
          <w:t>kancelaria@gops-nieporet.pl</w:t>
        </w:r>
      </w:hyperlink>
    </w:p>
    <w:p w14:paraId="26D17EF8" w14:textId="4DDC1F98" w:rsidR="00A11914" w:rsidRDefault="00C02BCF">
      <w:pPr>
        <w:pStyle w:val="Akapitzlist"/>
        <w:numPr>
          <w:ilvl w:val="0"/>
          <w:numId w:val="1"/>
        </w:numPr>
        <w:tabs>
          <w:tab w:val="left" w:pos="566"/>
        </w:tabs>
        <w:spacing w:before="3" w:line="276" w:lineRule="auto"/>
        <w:ind w:right="141"/>
        <w:jc w:val="both"/>
        <w:rPr>
          <w:rFonts w:ascii="Times New Roman" w:hAnsi="Times New Roman"/>
          <w:sz w:val="24"/>
        </w:rPr>
      </w:pPr>
      <w:r>
        <w:t xml:space="preserve">We wszystkich sprawach dotyczących przetwarzania danych osobowych kontaktować się można z Inspektorem Ochrony Danych za pośrednictwem poczty e-mail: </w:t>
      </w:r>
      <w:hyperlink r:id="rId6" w:history="1">
        <w:r w:rsidRPr="00C76FC6">
          <w:rPr>
            <w:rStyle w:val="Hipercze"/>
          </w:rPr>
          <w:t>iod@gops-nieporet.pl</w:t>
        </w:r>
      </w:hyperlink>
      <w:r>
        <w:t xml:space="preserve"> lub pod numerem telefonu: 538 225 029.</w:t>
      </w:r>
    </w:p>
    <w:p w14:paraId="4E00C057" w14:textId="286E6E4D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1"/>
        <w:ind w:right="136" w:hanging="341"/>
        <w:jc w:val="both"/>
        <w:rPr>
          <w:rFonts w:ascii="Times New Roman" w:hAnsi="Times New Roman"/>
          <w:sz w:val="24"/>
        </w:rPr>
      </w:pPr>
      <w:r>
        <w:t xml:space="preserve">Pani/Pana dane osobowe przetwarzane są w celu realizacji wniosku o przyznanie usługi opieki </w:t>
      </w:r>
      <w:proofErr w:type="spellStart"/>
      <w:r>
        <w:t>wytchnieniowej</w:t>
      </w:r>
      <w:proofErr w:type="spellEnd"/>
      <w:r>
        <w:t xml:space="preserve"> w ramach Programu resortowego Ministra Rodziny i Polityki Społecznej "Opieka </w:t>
      </w:r>
      <w:proofErr w:type="spellStart"/>
      <w:r>
        <w:t>wytchnieniowa</w:t>
      </w:r>
      <w:proofErr w:type="spellEnd"/>
      <w:r>
        <w:t>" dla Jednostek Samorządu Terytorialnego – edycja 202</w:t>
      </w:r>
      <w:r w:rsidR="004518E4">
        <w:t>6</w:t>
      </w:r>
      <w:r>
        <w:t>. Podstawę prawną programu stanowi</w:t>
      </w:r>
      <w:r>
        <w:rPr>
          <w:spacing w:val="40"/>
        </w:rPr>
        <w:t xml:space="preserve"> </w:t>
      </w:r>
      <w:r>
        <w:t>art. 7 ust. 5 ustawy</w:t>
      </w:r>
      <w:r>
        <w:rPr>
          <w:spacing w:val="40"/>
        </w:rPr>
        <w:t xml:space="preserve"> </w:t>
      </w:r>
      <w:r>
        <w:t xml:space="preserve">z dnia 23 października 2018 r. o Solidarnościowym Funduszu Wsparcia Osób </w:t>
      </w:r>
      <w:r>
        <w:rPr>
          <w:spacing w:val="-2"/>
        </w:rPr>
        <w:t>Niepełnosprawnych.</w:t>
      </w:r>
    </w:p>
    <w:p w14:paraId="0DDFB80E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right="141" w:hanging="425"/>
        <w:jc w:val="both"/>
        <w:rPr>
          <w:rFonts w:ascii="Times New Roman" w:hAnsi="Times New Roman"/>
          <w:sz w:val="24"/>
        </w:rPr>
      </w:pPr>
      <w:r>
        <w:t>Pani/Pana dane będą przetwarzane na podstawie art. 6 ust. 1 lit. c Rozporządzenia Parlamentu Europejskiego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RODO)</w:t>
      </w:r>
      <w:r>
        <w:rPr>
          <w:spacing w:val="-3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wypełnienia</w:t>
      </w:r>
      <w:r>
        <w:rPr>
          <w:spacing w:val="-7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ciążącego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2"/>
        </w:rPr>
        <w:t>administratorze.</w:t>
      </w:r>
    </w:p>
    <w:p w14:paraId="5AA49A85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</w:tabs>
        <w:spacing w:before="1" w:line="268" w:lineRule="exact"/>
        <w:ind w:left="564" w:right="0" w:hanging="423"/>
        <w:jc w:val="both"/>
      </w:pPr>
      <w:r>
        <w:t>Pani/Pana</w:t>
      </w:r>
      <w:r>
        <w:rPr>
          <w:spacing w:val="-9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udostępnia</w:t>
      </w:r>
      <w:r>
        <w:rPr>
          <w:spacing w:val="-8"/>
        </w:rPr>
        <w:t xml:space="preserve"> </w:t>
      </w:r>
      <w:r>
        <w:rPr>
          <w:spacing w:val="-4"/>
        </w:rPr>
        <w:t>się:</w:t>
      </w:r>
    </w:p>
    <w:p w14:paraId="77C8CB50" w14:textId="77777777" w:rsidR="00A11914" w:rsidRDefault="00C02BCF">
      <w:pPr>
        <w:pStyle w:val="Akapitzlist"/>
        <w:numPr>
          <w:ilvl w:val="1"/>
          <w:numId w:val="1"/>
        </w:numPr>
        <w:tabs>
          <w:tab w:val="left" w:pos="566"/>
        </w:tabs>
        <w:ind w:right="139"/>
      </w:pPr>
      <w:r>
        <w:t>urzędom administracji rządowej, organom administracji publicznej; państwowym i samorządowym jednostkom organizacyjnym, innym podmiotom – w zakresie niezbędnym do realizacji zadań publicznych oraz jednostkom organizacyjnym, jeżeli wykażą w tym interes prawny;</w:t>
      </w:r>
    </w:p>
    <w:p w14:paraId="6D2CA496" w14:textId="655A43A3" w:rsidR="00A11914" w:rsidRDefault="00C02BCF">
      <w:pPr>
        <w:pStyle w:val="Akapitzlist"/>
        <w:numPr>
          <w:ilvl w:val="1"/>
          <w:numId w:val="1"/>
        </w:numPr>
        <w:tabs>
          <w:tab w:val="left" w:pos="566"/>
        </w:tabs>
        <w:ind w:right="134"/>
      </w:pPr>
      <w:r>
        <w:t xml:space="preserve">podmiotom świadczącym na rzecz administratora usługi związane m.in. z realizacją Programu resortowego Ministra Rodziny i Polityki Społecznej "Opieka </w:t>
      </w:r>
      <w:proofErr w:type="spellStart"/>
      <w:r>
        <w:t>wytchnieniowa</w:t>
      </w:r>
      <w:proofErr w:type="spellEnd"/>
      <w:r>
        <w:t>" dla Jednostek Samorządu Terytorialnego – edycja 202</w:t>
      </w:r>
      <w:r w:rsidR="004518E4">
        <w:t>6</w:t>
      </w:r>
      <w:r>
        <w:t>.</w:t>
      </w:r>
    </w:p>
    <w:p w14:paraId="64B2F751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hanging="341"/>
        <w:jc w:val="both"/>
        <w:rPr>
          <w:rFonts w:ascii="Times New Roman" w:hAnsi="Times New Roman"/>
          <w:sz w:val="24"/>
        </w:rPr>
      </w:pPr>
      <w:r>
        <w:t>Zgromadzone dane są przetwarzane zgodnie z klasyfikacją wynikającą z jednolitego rzeczowego wykazu akt obowiązującego u administratora.</w:t>
      </w:r>
    </w:p>
    <w:p w14:paraId="40C6BCC3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right="139" w:hanging="341"/>
        <w:jc w:val="both"/>
        <w:rPr>
          <w:rFonts w:ascii="Times New Roman" w:hAnsi="Times New Roman"/>
          <w:sz w:val="24"/>
        </w:rPr>
      </w:pPr>
      <w:r>
        <w:t>Przysługuje Pani/Panu w szczególności prawo dostępu do Pani/Pana danych, prawo żądania ich sprostowania, prawo do ograniczenia przetwarzania, a także danych osób, nad którymi sprawowana jest prawna opieka, np. danych dzieci.</w:t>
      </w:r>
    </w:p>
    <w:p w14:paraId="2344529E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right="138" w:hanging="425"/>
        <w:jc w:val="both"/>
      </w:pPr>
      <w:r>
        <w:t>Przysługuje Pani/Panu również prawo wniesienia skargi do organu nadzorczego - Prezesa Urzędu Ochrony Danych Osobowych, Biuro Prezesa Urzędu Ochrony Danych Osobowych Adres: Stawki 2, 00-193 Warszawa; telefon: 22 531 03 00.</w:t>
      </w:r>
    </w:p>
    <w:p w14:paraId="0F223FB5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</w:tabs>
        <w:spacing w:line="282" w:lineRule="exact"/>
        <w:ind w:left="564" w:right="0" w:hanging="423"/>
        <w:jc w:val="both"/>
        <w:rPr>
          <w:rFonts w:ascii="Times New Roman" w:hAnsi="Times New Roman"/>
          <w:sz w:val="24"/>
        </w:rPr>
      </w:pPr>
      <w:r>
        <w:t>Obowiązek</w:t>
      </w:r>
      <w:r>
        <w:rPr>
          <w:spacing w:val="36"/>
        </w:rPr>
        <w:t xml:space="preserve"> </w:t>
      </w:r>
      <w:r>
        <w:t>podania</w:t>
      </w:r>
      <w:r>
        <w:rPr>
          <w:spacing w:val="34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Panią/Pana</w:t>
      </w:r>
      <w:r>
        <w:rPr>
          <w:spacing w:val="36"/>
        </w:rPr>
        <w:t xml:space="preserve"> </w:t>
      </w:r>
      <w:r>
        <w:t>danych</w:t>
      </w:r>
      <w:r>
        <w:rPr>
          <w:spacing w:val="34"/>
        </w:rPr>
        <w:t xml:space="preserve"> </w:t>
      </w:r>
      <w:r>
        <w:t>osobowych</w:t>
      </w:r>
      <w:r>
        <w:rPr>
          <w:spacing w:val="35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danych</w:t>
      </w:r>
      <w:r>
        <w:rPr>
          <w:spacing w:val="34"/>
        </w:rPr>
        <w:t xml:space="preserve"> </w:t>
      </w:r>
      <w:r>
        <w:t>osobowych</w:t>
      </w:r>
      <w:r>
        <w:rPr>
          <w:spacing w:val="38"/>
        </w:rPr>
        <w:t xml:space="preserve"> </w:t>
      </w:r>
      <w:r>
        <w:t>członków</w:t>
      </w:r>
      <w:r>
        <w:rPr>
          <w:spacing w:val="35"/>
        </w:rPr>
        <w:t xml:space="preserve"> </w:t>
      </w:r>
      <w:r>
        <w:t>rodzin</w:t>
      </w:r>
      <w:r>
        <w:rPr>
          <w:spacing w:val="43"/>
        </w:rPr>
        <w:t xml:space="preserve"> </w:t>
      </w:r>
      <w:r>
        <w:rPr>
          <w:spacing w:val="-4"/>
        </w:rPr>
        <w:t>jest</w:t>
      </w:r>
    </w:p>
    <w:p w14:paraId="2FF2C118" w14:textId="77777777" w:rsidR="00A11914" w:rsidRDefault="00C02BCF">
      <w:pPr>
        <w:pStyle w:val="Tekstpodstawowy"/>
        <w:spacing w:line="267" w:lineRule="exact"/>
        <w:ind w:firstLine="0"/>
        <w:jc w:val="left"/>
      </w:pPr>
      <w:r>
        <w:t>niezbędny</w:t>
      </w:r>
      <w:r>
        <w:rPr>
          <w:spacing w:val="-8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ubieganiu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przyznanie</w:t>
      </w:r>
      <w:r>
        <w:rPr>
          <w:spacing w:val="-6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opieki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0EE6945B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hanging="425"/>
        <w:jc w:val="left"/>
        <w:rPr>
          <w:rFonts w:ascii="Times New Roman" w:hAnsi="Times New Roman"/>
          <w:sz w:val="24"/>
        </w:rPr>
      </w:pPr>
      <w:r>
        <w:t>Pani/Pana dane oraz dane członków rodziny, w tym osób, nad którymi sprawowana jest prawna opieka np. dane dzieci nie są przekazywane do państw trzecich.</w:t>
      </w:r>
    </w:p>
    <w:p w14:paraId="3ED62A58" w14:textId="77777777" w:rsidR="00A11914" w:rsidRDefault="00C02BCF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ind w:hanging="425"/>
        <w:jc w:val="left"/>
        <w:rPr>
          <w:rFonts w:ascii="Times New Roman" w:hAnsi="Times New Roman"/>
          <w:sz w:val="24"/>
        </w:rPr>
      </w:pPr>
      <w:r>
        <w:t>Pani/Pana dane oraz dane członków rodziny, w tym osób, nad którymi sprawowana jest prawna opieka np. dane dzieci nie podlegają zautomatyzowanemu podejmowaniu decyzji, w tym profilowaniu.</w:t>
      </w:r>
    </w:p>
    <w:sectPr w:rsidR="00A11914">
      <w:type w:val="continuous"/>
      <w:pgSz w:w="11910" w:h="16840"/>
      <w:pgMar w:top="148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E19"/>
    <w:multiLevelType w:val="hybridMultilevel"/>
    <w:tmpl w:val="70980F7C"/>
    <w:lvl w:ilvl="0" w:tplc="4BEACCD6">
      <w:start w:val="1"/>
      <w:numFmt w:val="decimal"/>
      <w:lvlText w:val="%1)"/>
      <w:lvlJc w:val="left"/>
      <w:pPr>
        <w:ind w:left="566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BF5CDEAE">
      <w:numFmt w:val="bullet"/>
      <w:lvlText w:val="•"/>
      <w:lvlJc w:val="left"/>
      <w:pPr>
        <w:ind w:left="56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CC2C4A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7ACEBE16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033EA06E">
      <w:numFmt w:val="bullet"/>
      <w:lvlText w:val="•"/>
      <w:lvlJc w:val="left"/>
      <w:pPr>
        <w:ind w:left="4475" w:hanging="360"/>
      </w:pPr>
      <w:rPr>
        <w:rFonts w:hint="default"/>
        <w:lang w:val="pl-PL" w:eastAsia="en-US" w:bidi="ar-SA"/>
      </w:rPr>
    </w:lvl>
    <w:lvl w:ilvl="5" w:tplc="19121618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6" w:tplc="FF8898FE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7" w:tplc="E23C9EC2">
      <w:numFmt w:val="bullet"/>
      <w:lvlText w:val="•"/>
      <w:lvlJc w:val="left"/>
      <w:pPr>
        <w:ind w:left="7411" w:hanging="360"/>
      </w:pPr>
      <w:rPr>
        <w:rFonts w:hint="default"/>
        <w:lang w:val="pl-PL" w:eastAsia="en-US" w:bidi="ar-SA"/>
      </w:rPr>
    </w:lvl>
    <w:lvl w:ilvl="8" w:tplc="04A20436">
      <w:numFmt w:val="bullet"/>
      <w:lvlText w:val="•"/>
      <w:lvlJc w:val="left"/>
      <w:pPr>
        <w:ind w:left="8390" w:hanging="360"/>
      </w:pPr>
      <w:rPr>
        <w:rFonts w:hint="default"/>
        <w:lang w:val="pl-PL" w:eastAsia="en-US" w:bidi="ar-SA"/>
      </w:rPr>
    </w:lvl>
  </w:abstractNum>
  <w:num w:numId="1" w16cid:durableId="16120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14"/>
    <w:rsid w:val="001B4546"/>
    <w:rsid w:val="004518E4"/>
    <w:rsid w:val="00A11914"/>
    <w:rsid w:val="00C02BCF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9A67"/>
  <w15:docId w15:val="{1F48F622-B65B-41B1-A9C2-7333F467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6" w:hanging="425"/>
      <w:jc w:val="both"/>
    </w:pPr>
  </w:style>
  <w:style w:type="paragraph" w:styleId="Tytu">
    <w:name w:val="Title"/>
    <w:basedOn w:val="Normalny"/>
    <w:uiPriority w:val="10"/>
    <w:qFormat/>
    <w:pPr>
      <w:spacing w:before="37"/>
      <w:ind w:left="427"/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566" w:right="142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02B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-nieporet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Trusiński</dc:creator>
  <cp:lastModifiedBy>Katarzyna Skwarska</cp:lastModifiedBy>
  <cp:revision>2</cp:revision>
  <dcterms:created xsi:type="dcterms:W3CDTF">2025-10-16T07:36:00Z</dcterms:created>
  <dcterms:modified xsi:type="dcterms:W3CDTF">2025-10-16T07:36:00Z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dla Microsoft 365</vt:lpwstr>
  </property>
</Properties>
</file>